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hint="eastAsia"/>
          <w:color w:val="000000"/>
          <w:szCs w:val="24"/>
        </w:rPr>
        <w:t>別表第３（第１３条関係）</w:t>
      </w:r>
    </w:p>
    <w:p w:rsidR="005A21F6" w:rsidRPr="005C6158" w:rsidRDefault="005A21F6">
      <w:pPr>
        <w:widowControl/>
        <w:spacing w:line="420" w:lineRule="atLeast"/>
        <w:ind w:left="420"/>
        <w:rPr>
          <w:rFonts w:asciiTheme="minorEastAsia"/>
          <w:color w:val="000000"/>
          <w:szCs w:val="24"/>
        </w:rPr>
      </w:pPr>
      <w:r w:rsidRPr="005C6158">
        <w:rPr>
          <w:rFonts w:asciiTheme="minorEastAsia" w:hAnsiTheme="minorEastAsia" w:hint="eastAsia"/>
          <w:color w:val="000000"/>
          <w:szCs w:val="24"/>
        </w:rPr>
        <w:t>使用料の減額又は免除</w:t>
      </w:r>
    </w:p>
    <w:tbl>
      <w:tblPr>
        <w:tblW w:w="0" w:type="auto"/>
        <w:tblInd w:w="5" w:type="dxa"/>
        <w:tblLayout w:type="fixed"/>
        <w:tblCellMar>
          <w:left w:w="0" w:type="dxa"/>
          <w:right w:w="0" w:type="dxa"/>
        </w:tblCellMar>
        <w:tblLook w:val="0000" w:firstRow="0" w:lastRow="0" w:firstColumn="0" w:lastColumn="0" w:noHBand="0" w:noVBand="0"/>
      </w:tblPr>
      <w:tblGrid>
        <w:gridCol w:w="7438"/>
        <w:gridCol w:w="1632"/>
      </w:tblGrid>
      <w:tr w:rsidR="005A21F6" w:rsidRPr="005C6158">
        <w:tc>
          <w:tcPr>
            <w:tcW w:w="7438" w:type="dxa"/>
            <w:tcBorders>
              <w:top w:val="single" w:sz="4" w:space="0" w:color="000000"/>
              <w:left w:val="single" w:sz="4" w:space="0" w:color="000000"/>
              <w:bottom w:val="single" w:sz="4" w:space="0" w:color="000000"/>
              <w:right w:val="single" w:sz="4" w:space="0" w:color="000000"/>
            </w:tcBorders>
          </w:tcPr>
          <w:p w:rsidR="005A21F6" w:rsidRPr="005C6158" w:rsidRDefault="005A21F6">
            <w:pPr>
              <w:widowControl/>
              <w:spacing w:line="420" w:lineRule="atLeast"/>
              <w:jc w:val="center"/>
              <w:rPr>
                <w:rFonts w:asciiTheme="minorEastAsia"/>
                <w:color w:val="000000"/>
                <w:szCs w:val="24"/>
              </w:rPr>
            </w:pPr>
            <w:r w:rsidRPr="005C6158">
              <w:rPr>
                <w:rFonts w:asciiTheme="minorEastAsia" w:hAnsiTheme="minorEastAsia" w:hint="eastAsia"/>
                <w:color w:val="000000"/>
                <w:szCs w:val="24"/>
              </w:rPr>
              <w:t>利用区分</w:t>
            </w:r>
          </w:p>
        </w:tc>
        <w:tc>
          <w:tcPr>
            <w:tcW w:w="1632" w:type="dxa"/>
            <w:tcBorders>
              <w:top w:val="single" w:sz="4" w:space="0" w:color="000000"/>
              <w:left w:val="nil"/>
              <w:bottom w:val="single" w:sz="4" w:space="0" w:color="000000"/>
              <w:right w:val="single" w:sz="4" w:space="0" w:color="000000"/>
            </w:tcBorders>
          </w:tcPr>
          <w:p w:rsidR="005A21F6" w:rsidRPr="005C6158" w:rsidRDefault="005A21F6">
            <w:pPr>
              <w:widowControl/>
              <w:spacing w:line="420" w:lineRule="atLeast"/>
              <w:jc w:val="center"/>
              <w:rPr>
                <w:rFonts w:asciiTheme="minorEastAsia"/>
                <w:color w:val="000000"/>
                <w:szCs w:val="24"/>
              </w:rPr>
            </w:pPr>
            <w:r w:rsidRPr="005C6158">
              <w:rPr>
                <w:rFonts w:asciiTheme="minorEastAsia" w:hAnsiTheme="minorEastAsia" w:hint="eastAsia"/>
                <w:color w:val="000000"/>
                <w:szCs w:val="24"/>
              </w:rPr>
              <w:t>減免率（％）</w:t>
            </w: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(1)</w:t>
            </w:r>
            <w:r w:rsidRPr="005C6158">
              <w:rPr>
                <w:rFonts w:asciiTheme="minorEastAsia" w:hAnsiTheme="minorEastAsia" w:hint="eastAsia"/>
                <w:color w:val="000000"/>
                <w:szCs w:val="24"/>
              </w:rPr>
              <w:t xml:space="preserve">　町又は町の機関が主催し、又は共催する場合</w:t>
            </w:r>
          </w:p>
        </w:tc>
        <w:tc>
          <w:tcPr>
            <w:tcW w:w="1632" w:type="dxa"/>
            <w:vMerge w:val="restart"/>
            <w:tcBorders>
              <w:top w:val="nil"/>
              <w:left w:val="nil"/>
              <w:bottom w:val="single" w:sz="4" w:space="0" w:color="000000"/>
              <w:right w:val="single" w:sz="4" w:space="0" w:color="000000"/>
            </w:tcBorders>
          </w:tcPr>
          <w:p w:rsidR="005A21F6" w:rsidRPr="005C6158" w:rsidRDefault="005A21F6">
            <w:pPr>
              <w:widowControl/>
              <w:spacing w:line="420" w:lineRule="atLeast"/>
              <w:rPr>
                <w:rFonts w:asciiTheme="minorEastAsia"/>
                <w:color w:val="000000"/>
                <w:szCs w:val="24"/>
              </w:rPr>
            </w:pPr>
            <w:r w:rsidRPr="005C6158">
              <w:rPr>
                <w:rFonts w:asciiTheme="minorEastAsia" w:hAnsiTheme="minorEastAsia" w:hint="eastAsia"/>
                <w:color w:val="000000"/>
                <w:szCs w:val="24"/>
              </w:rPr>
              <w:t>１００</w:t>
            </w: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(2)</w:t>
            </w:r>
            <w:r w:rsidRPr="005C6158">
              <w:rPr>
                <w:rFonts w:asciiTheme="minorEastAsia" w:hAnsiTheme="minorEastAsia" w:hint="eastAsia"/>
                <w:color w:val="000000"/>
                <w:szCs w:val="24"/>
              </w:rPr>
              <w:t xml:space="preserve">　町内の保育所、小学校若しくは中学校又は福井県立美方高等学校若しくは福井県立嶺南東養護学校が授業等の一環として利用する場合</w:t>
            </w:r>
          </w:p>
        </w:tc>
        <w:tc>
          <w:tcPr>
            <w:tcW w:w="1632" w:type="dxa"/>
            <w:vMerge/>
            <w:tcBorders>
              <w:top w:val="nil"/>
              <w:left w:val="nil"/>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(3)</w:t>
            </w:r>
            <w:r w:rsidRPr="005C6158">
              <w:rPr>
                <w:rFonts w:asciiTheme="minorEastAsia" w:hAnsiTheme="minorEastAsia" w:hint="eastAsia"/>
                <w:color w:val="000000"/>
                <w:szCs w:val="24"/>
              </w:rPr>
              <w:t xml:space="preserve">　国又は他の地方公共団体が町民の福祉の向上のために利用する場合</w:t>
            </w:r>
          </w:p>
        </w:tc>
        <w:tc>
          <w:tcPr>
            <w:tcW w:w="1632" w:type="dxa"/>
            <w:vMerge/>
            <w:tcBorders>
              <w:top w:val="nil"/>
              <w:left w:val="nil"/>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(4)</w:t>
            </w:r>
            <w:r w:rsidRPr="005C6158">
              <w:rPr>
                <w:rFonts w:asciiTheme="minorEastAsia" w:hAnsiTheme="minorEastAsia" w:hint="eastAsia"/>
                <w:color w:val="000000"/>
                <w:szCs w:val="24"/>
              </w:rPr>
              <w:t xml:space="preserve">　障がいのある者又はその者の保護者等で構成されている団体</w:t>
            </w:r>
            <w:proofErr w:type="gramStart"/>
            <w:r w:rsidRPr="005C6158">
              <w:rPr>
                <w:rFonts w:asciiTheme="minorEastAsia" w:hAnsiTheme="minorEastAsia" w:hint="eastAsia"/>
                <w:color w:val="000000"/>
                <w:szCs w:val="24"/>
              </w:rPr>
              <w:t>が</w:t>
            </w:r>
            <w:proofErr w:type="gramEnd"/>
            <w:r w:rsidRPr="005C6158">
              <w:rPr>
                <w:rFonts w:asciiTheme="minorEastAsia" w:hAnsiTheme="minorEastAsia" w:hint="eastAsia"/>
                <w:color w:val="000000"/>
                <w:szCs w:val="24"/>
              </w:rPr>
              <w:t>障</w:t>
            </w:r>
            <w:proofErr w:type="gramStart"/>
            <w:r w:rsidRPr="005C6158">
              <w:rPr>
                <w:rFonts w:asciiTheme="minorEastAsia" w:hAnsiTheme="minorEastAsia" w:hint="eastAsia"/>
                <w:color w:val="000000"/>
                <w:szCs w:val="24"/>
              </w:rPr>
              <w:t>が</w:t>
            </w:r>
            <w:proofErr w:type="gramEnd"/>
            <w:r w:rsidRPr="005C6158">
              <w:rPr>
                <w:rFonts w:asciiTheme="minorEastAsia" w:hAnsiTheme="minorEastAsia" w:hint="eastAsia"/>
                <w:color w:val="000000"/>
                <w:szCs w:val="24"/>
              </w:rPr>
              <w:t>いのある者の自立と社会参加を促進する活動のために利用する場合</w:t>
            </w:r>
          </w:p>
        </w:tc>
        <w:tc>
          <w:tcPr>
            <w:tcW w:w="1632" w:type="dxa"/>
            <w:vMerge/>
            <w:tcBorders>
              <w:top w:val="nil"/>
              <w:left w:val="nil"/>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(5)</w:t>
            </w:r>
            <w:r w:rsidRPr="005C6158">
              <w:rPr>
                <w:rFonts w:asciiTheme="minorEastAsia" w:hAnsiTheme="minorEastAsia" w:hint="eastAsia"/>
                <w:color w:val="000000"/>
                <w:szCs w:val="24"/>
              </w:rPr>
              <w:t xml:space="preserve">　児童又は利用者の半数以上が児童である町内の団体が青少年の健全育成のために利用する場合</w:t>
            </w:r>
          </w:p>
        </w:tc>
        <w:tc>
          <w:tcPr>
            <w:tcW w:w="1632" w:type="dxa"/>
            <w:vMerge/>
            <w:tcBorders>
              <w:top w:val="nil"/>
              <w:left w:val="nil"/>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(6)</w:t>
            </w:r>
            <w:r w:rsidRPr="005C6158">
              <w:rPr>
                <w:rFonts w:asciiTheme="minorEastAsia" w:hAnsiTheme="minorEastAsia" w:hint="eastAsia"/>
                <w:color w:val="000000"/>
                <w:szCs w:val="24"/>
              </w:rPr>
              <w:t xml:space="preserve">　町又は町の機関が後援する場合</w:t>
            </w:r>
          </w:p>
        </w:tc>
        <w:tc>
          <w:tcPr>
            <w:tcW w:w="1632" w:type="dxa"/>
            <w:vMerge w:val="restart"/>
            <w:tcBorders>
              <w:top w:val="nil"/>
              <w:left w:val="nil"/>
              <w:bottom w:val="single" w:sz="4" w:space="0" w:color="000000"/>
              <w:right w:val="single" w:sz="4" w:space="0" w:color="000000"/>
            </w:tcBorders>
          </w:tcPr>
          <w:p w:rsidR="005A21F6" w:rsidRPr="005C6158" w:rsidRDefault="005A21F6">
            <w:pPr>
              <w:widowControl/>
              <w:spacing w:line="420" w:lineRule="atLeast"/>
              <w:rPr>
                <w:rFonts w:asciiTheme="minorEastAsia"/>
                <w:color w:val="000000"/>
                <w:szCs w:val="24"/>
              </w:rPr>
            </w:pPr>
            <w:r w:rsidRPr="005C6158">
              <w:rPr>
                <w:rFonts w:asciiTheme="minorEastAsia" w:hAnsiTheme="minorEastAsia" w:hint="eastAsia"/>
                <w:color w:val="000000"/>
                <w:szCs w:val="24"/>
              </w:rPr>
              <w:t>５０</w:t>
            </w: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(7)</w:t>
            </w:r>
            <w:r w:rsidRPr="005C6158">
              <w:rPr>
                <w:rFonts w:asciiTheme="minorEastAsia" w:hAnsiTheme="minorEastAsia" w:hint="eastAsia"/>
                <w:color w:val="000000"/>
                <w:szCs w:val="24"/>
              </w:rPr>
              <w:t xml:space="preserve">　高齢者又は利用者の半数以上が高齢者である町内の団体が利用する場合</w:t>
            </w:r>
          </w:p>
        </w:tc>
        <w:tc>
          <w:tcPr>
            <w:tcW w:w="1632" w:type="dxa"/>
            <w:vMerge/>
            <w:tcBorders>
              <w:top w:val="nil"/>
              <w:left w:val="nil"/>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p>
        </w:tc>
      </w:tr>
      <w:tr w:rsidR="005A21F6" w:rsidRPr="005C6158">
        <w:tc>
          <w:tcPr>
            <w:tcW w:w="7438" w:type="dxa"/>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color w:val="000000"/>
                <w:szCs w:val="24"/>
              </w:rPr>
              <w:t>(8)</w:t>
            </w:r>
            <w:r w:rsidRPr="005C6158">
              <w:rPr>
                <w:rFonts w:asciiTheme="minorEastAsia" w:hAnsiTheme="minorEastAsia" w:hint="eastAsia"/>
                <w:color w:val="000000"/>
                <w:szCs w:val="24"/>
              </w:rPr>
              <w:t xml:space="preserve">　当該施設を利用して行う活動が、当該利用者の利益にとどまらず客観的に見て広く町民の利益等に結びつくと教育委員会が認める場合</w:t>
            </w:r>
          </w:p>
        </w:tc>
        <w:tc>
          <w:tcPr>
            <w:tcW w:w="1632" w:type="dxa"/>
            <w:tcBorders>
              <w:top w:val="nil"/>
              <w:left w:val="nil"/>
              <w:bottom w:val="single" w:sz="4" w:space="0" w:color="000000"/>
              <w:right w:val="single" w:sz="4" w:space="0" w:color="000000"/>
            </w:tcBorders>
          </w:tcPr>
          <w:p w:rsidR="005A21F6" w:rsidRPr="005C6158" w:rsidRDefault="005A21F6">
            <w:pPr>
              <w:widowControl/>
              <w:spacing w:line="420" w:lineRule="atLeast"/>
              <w:rPr>
                <w:rFonts w:asciiTheme="minorEastAsia"/>
                <w:color w:val="000000"/>
                <w:szCs w:val="24"/>
              </w:rPr>
            </w:pPr>
            <w:r w:rsidRPr="005C6158">
              <w:rPr>
                <w:rFonts w:asciiTheme="minorEastAsia" w:hAnsiTheme="minorEastAsia" w:hint="eastAsia"/>
                <w:color w:val="000000"/>
                <w:szCs w:val="24"/>
              </w:rPr>
              <w:t>１００又は５０</w:t>
            </w:r>
          </w:p>
        </w:tc>
      </w:tr>
      <w:tr w:rsidR="005A21F6" w:rsidRPr="005C6158">
        <w:tc>
          <w:tcPr>
            <w:tcW w:w="9070" w:type="dxa"/>
            <w:gridSpan w:val="2"/>
            <w:tcBorders>
              <w:top w:val="nil"/>
              <w:left w:val="single" w:sz="4" w:space="0" w:color="000000"/>
              <w:bottom w:val="single" w:sz="4" w:space="0" w:color="000000"/>
              <w:right w:val="single" w:sz="4" w:space="0" w:color="000000"/>
            </w:tcBorders>
          </w:tcPr>
          <w:p w:rsidR="005A21F6" w:rsidRPr="005C6158" w:rsidRDefault="005A21F6">
            <w:pPr>
              <w:widowControl/>
              <w:spacing w:line="420" w:lineRule="atLeast"/>
              <w:ind w:left="210" w:hanging="210"/>
              <w:rPr>
                <w:rFonts w:asciiTheme="minorEastAsia"/>
                <w:color w:val="000000"/>
                <w:szCs w:val="24"/>
              </w:rPr>
            </w:pPr>
            <w:r w:rsidRPr="005C6158">
              <w:rPr>
                <w:rFonts w:asciiTheme="minorEastAsia" w:hAnsiTheme="minorEastAsia" w:hint="eastAsia"/>
                <w:color w:val="000000"/>
                <w:szCs w:val="24"/>
              </w:rPr>
              <w:t>備考</w:t>
            </w:r>
          </w:p>
          <w:p w:rsidR="005A21F6" w:rsidRPr="005C6158" w:rsidRDefault="005A21F6">
            <w:pPr>
              <w:widowControl/>
              <w:spacing w:line="420" w:lineRule="atLeast"/>
              <w:ind w:left="420" w:hanging="210"/>
              <w:rPr>
                <w:rFonts w:asciiTheme="minorEastAsia"/>
                <w:color w:val="000000"/>
                <w:szCs w:val="24"/>
              </w:rPr>
            </w:pPr>
            <w:r w:rsidRPr="005C6158">
              <w:rPr>
                <w:rFonts w:asciiTheme="minorEastAsia" w:hAnsiTheme="minorEastAsia" w:hint="eastAsia"/>
                <w:color w:val="000000"/>
                <w:szCs w:val="24"/>
              </w:rPr>
              <w:t>１　「児童」とは、町内に住所を有する高校生（１８歳）以下の者をいう。</w:t>
            </w:r>
          </w:p>
          <w:p w:rsidR="005A21F6" w:rsidRPr="005C6158" w:rsidRDefault="005A21F6">
            <w:pPr>
              <w:widowControl/>
              <w:spacing w:line="420" w:lineRule="atLeast"/>
              <w:ind w:left="420" w:hanging="210"/>
              <w:rPr>
                <w:rFonts w:asciiTheme="minorEastAsia"/>
                <w:color w:val="000000"/>
                <w:szCs w:val="24"/>
              </w:rPr>
            </w:pPr>
            <w:r w:rsidRPr="005C6158">
              <w:rPr>
                <w:rFonts w:asciiTheme="minorEastAsia" w:hAnsiTheme="minorEastAsia" w:hint="eastAsia"/>
                <w:color w:val="000000"/>
                <w:szCs w:val="24"/>
              </w:rPr>
              <w:t>２　「高齢者」とは、町内に住所を有する６５歳以上の者をいう。</w:t>
            </w:r>
          </w:p>
          <w:p w:rsidR="005A21F6" w:rsidRPr="005C6158" w:rsidRDefault="005A21F6">
            <w:pPr>
              <w:widowControl/>
              <w:spacing w:line="420" w:lineRule="atLeast"/>
              <w:ind w:left="420" w:hanging="210"/>
              <w:rPr>
                <w:rFonts w:asciiTheme="minorEastAsia"/>
                <w:color w:val="000000"/>
                <w:szCs w:val="24"/>
              </w:rPr>
            </w:pPr>
            <w:r w:rsidRPr="005C6158">
              <w:rPr>
                <w:rFonts w:asciiTheme="minorEastAsia" w:hAnsiTheme="minorEastAsia" w:hint="eastAsia"/>
                <w:color w:val="000000"/>
                <w:szCs w:val="24"/>
              </w:rPr>
              <w:t>３　第８号の規定による場合であっても、第１３条第１項の基本原則に基づき限定的に取り扱うこととする。</w:t>
            </w:r>
          </w:p>
        </w:tc>
      </w:tr>
    </w:tbl>
    <w:p w:rsidR="005A21F6" w:rsidRDefault="005A21F6" w:rsidP="000F6FF9">
      <w:pPr>
        <w:widowControl/>
        <w:spacing w:line="420" w:lineRule="atLeast"/>
        <w:rPr>
          <w:rFonts w:ascii="?Ｓ?明朝" w:eastAsia="?Ｓ?明朝" w:hAnsi="?Ｓ?明朝"/>
          <w:color w:val="000000"/>
          <w:szCs w:val="24"/>
        </w:rPr>
      </w:pPr>
      <w:bookmarkStart w:id="0" w:name="last"/>
      <w:bookmarkStart w:id="1" w:name="_GoBack"/>
      <w:bookmarkEnd w:id="0"/>
      <w:bookmarkEnd w:id="1"/>
    </w:p>
    <w:sectPr w:rsidR="005A21F6">
      <w:pgSz w:w="11905" w:h="16837"/>
      <w:pgMar w:top="1417" w:right="1417" w:bottom="1417" w:left="1417" w:header="720" w:footer="720" w:gutter="0"/>
      <w:cols w:space="720"/>
      <w:noEndnote/>
      <w:docGrid w:type="linesAndChars" w:linePitch="388"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Ｓ?明朝">
    <w:altName w:val="ＭＳ 明朝"/>
    <w:panose1 w:val="00000000000000000000"/>
    <w:charset w:val="80"/>
    <w:family w:val="auto"/>
    <w:notTrueType/>
    <w:pitch w:val="default"/>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3"/>
  <w:drawingGridVerticalSpacing w:val="388"/>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58"/>
    <w:rsid w:val="000F6FF9"/>
    <w:rsid w:val="004946FC"/>
    <w:rsid w:val="005A21F6"/>
    <w:rsid w:val="005C6158"/>
    <w:rsid w:val="00715F7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FF6373-10DB-40F9-B5D3-EDF1047D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cs="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美浜町</dc:creator>
  <cp:keywords/>
  <dc:description/>
  <cp:lastModifiedBy>加藤 睦教</cp:lastModifiedBy>
  <cp:revision>3</cp:revision>
  <dcterms:created xsi:type="dcterms:W3CDTF">2023-04-01T06:35:00Z</dcterms:created>
  <dcterms:modified xsi:type="dcterms:W3CDTF">2023-04-01T06:35:00Z</dcterms:modified>
</cp:coreProperties>
</file>